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9C" w:rsidRDefault="00C5499C" w:rsidP="00C5499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«С.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Нааматов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атындагы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НМУнун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Жарчысы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журналы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жөнүндө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маалымат</w:t>
      </w:r>
      <w:proofErr w:type="spellEnd"/>
    </w:p>
    <w:p w:rsidR="00C5499C" w:rsidRPr="00C5499C" w:rsidRDefault="00C5499C" w:rsidP="00C5499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5499C" w:rsidRPr="00C5499C" w:rsidRDefault="00C5499C" w:rsidP="00C5499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Нарын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университетинин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базасында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«С.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аттуу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журнал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үзгүлтүксүз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жарык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көрүп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келет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университеттин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профессордук-окутуучулук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курамынын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эле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республикадагы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чет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өлкөлөрдөгү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окумуштуулардын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изилдөөчүлөрдүн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докторанттардын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аспиранттардын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магистранттардын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макалалары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жарыяланат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99C" w:rsidRPr="00C5499C" w:rsidRDefault="00C5499C" w:rsidP="00C5499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журнал 2014-жылдын 14-декабрында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Юстиция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министрлигинен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каттоодон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өтүп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ошол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жылдан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тартып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чыгарыла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баштаган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Учурда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журнал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2–3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жолу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туруктуу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негизде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басылып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чыгарылат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99C" w:rsidRPr="00C5499C" w:rsidRDefault="00C5499C" w:rsidP="00C5499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коллегиясынын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курамына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ар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түрдүү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багыттар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тажрыйбалуу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окумуштуулар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адистер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кирген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99C" w:rsidRDefault="00C5499C" w:rsidP="00C5499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5499C" w:rsidRPr="00C5499C" w:rsidRDefault="00C5499C" w:rsidP="00C5499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Редакциялык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курамы</w:t>
      </w:r>
      <w:proofErr w:type="spellEnd"/>
    </w:p>
    <w:p w:rsidR="00C5499C" w:rsidRPr="00C5499C" w:rsidRDefault="00C5499C" w:rsidP="00C5499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Башкы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редактор: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Исабекова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Тилек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Асанакунович</w:t>
      </w:r>
      <w:proofErr w:type="spellEnd"/>
    </w:p>
    <w:p w:rsidR="00C5499C" w:rsidRPr="00C5499C" w:rsidRDefault="00C5499C" w:rsidP="00C5499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Жооптуу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редактор: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Белекова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Асел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Нуралиевна</w:t>
      </w:r>
      <w:proofErr w:type="spellEnd"/>
    </w:p>
    <w:p w:rsidR="00C5499C" w:rsidRPr="00C5499C" w:rsidRDefault="00C5499C" w:rsidP="00C5499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Редакциялык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коллегиянын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мүчөлөрү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Жантаев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Адилбек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Сүйүндекович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филология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профессор;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Калдыбаев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Салидин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Кадыркулович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педагогика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профессор;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Бийгелдиева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Абдыгуловна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филология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доктору, доцент;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Айдаралиева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Айнура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Сабыровна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филология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доценттин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Биймурсаева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Бурулбүбү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Молдосалиевна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педагогика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Кулмамбетова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Сагынбүбү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Мүсөкөновна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физика-математика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доценттин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Нуралиева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Назгүл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Молдалиевна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экономика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профессордун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Султаналиева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Шайыркул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Карыпбековна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педагогика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доцент;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Өмүрова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Кенжегүл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Орозобековна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биология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доценттин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м.а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.; </w:t>
      </w:r>
    </w:p>
    <w:p w:rsidR="00C5499C" w:rsidRPr="00C5499C" w:rsidRDefault="00C5499C" w:rsidP="00C5499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Эсеналиева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Гүлжамал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Өмүракуновна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тарых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илимдеринин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кандидаты, доцент. </w:t>
      </w:r>
    </w:p>
    <w:p w:rsidR="00C5499C" w:rsidRDefault="00C5499C" w:rsidP="00C5499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499C" w:rsidRPr="00C5499C" w:rsidRDefault="00C5499C" w:rsidP="00C5499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Журналдын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багыттары</w:t>
      </w:r>
      <w:proofErr w:type="spellEnd"/>
    </w:p>
    <w:p w:rsidR="00C5499C" w:rsidRPr="00C5499C" w:rsidRDefault="00C5499C" w:rsidP="00C5499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Журнал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төмөнкү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багыттар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макалаларды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жарыялайт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5499C" w:rsidRPr="00C5499C" w:rsidRDefault="00C5499C" w:rsidP="00C549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филология; </w:t>
      </w:r>
    </w:p>
    <w:p w:rsidR="00C5499C" w:rsidRPr="00C5499C" w:rsidRDefault="00C5499C" w:rsidP="00C549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педагогика; </w:t>
      </w:r>
    </w:p>
    <w:p w:rsidR="00C5499C" w:rsidRPr="00C5499C" w:rsidRDefault="00C5499C" w:rsidP="00C549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физика-математика; </w:t>
      </w:r>
    </w:p>
    <w:p w:rsidR="00C5499C" w:rsidRPr="00C5499C" w:rsidRDefault="00C5499C" w:rsidP="00C549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информатика; </w:t>
      </w:r>
    </w:p>
    <w:p w:rsidR="00C5499C" w:rsidRPr="00C5499C" w:rsidRDefault="00C5499C" w:rsidP="00C549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тарых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C5499C" w:rsidRPr="00C5499C" w:rsidRDefault="00C5499C" w:rsidP="00C5499C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экономика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менеджмент. </w:t>
      </w:r>
    </w:p>
    <w:p w:rsidR="00C5499C" w:rsidRPr="00C5499C" w:rsidRDefault="00C5499C" w:rsidP="00C5499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Акыркы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жылдары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менеджмент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багытындагы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кыйла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көбөйүп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аталган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багыттар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негизги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платформаларынын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калыптанууда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 Экономика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менеджмент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макалаларда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башкаруунун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заманбап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ыкмалары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санариптик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трансформация,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менеджменти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аймактык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ишкердик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туруктуу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экономикалык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маселелери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кеңири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камтылат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кезегинде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илимий-практикалык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маанисин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жогорулатууга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өбөлгө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түзүүдө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99C" w:rsidRPr="00C5499C" w:rsidRDefault="00C5499C" w:rsidP="00C5499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Басылма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изилдөөлөрдүн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жыйынтыктарын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жайылтууга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берүүнүн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өнүгүшүнө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окумуштуулардын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ишмердүүлүгүн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колдоого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багытталган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99C" w:rsidRPr="00C5499C" w:rsidRDefault="00C5499C" w:rsidP="00C5499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ишмердүүлүгүнүн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көрсөткүчтөрү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849"/>
        <w:gridCol w:w="849"/>
        <w:gridCol w:w="850"/>
        <w:gridCol w:w="849"/>
        <w:gridCol w:w="850"/>
      </w:tblGrid>
      <w:tr w:rsidR="00C5499C" w:rsidRPr="00C5499C" w:rsidTr="00811542">
        <w:trPr>
          <w:trHeight w:val="276"/>
        </w:trPr>
        <w:tc>
          <w:tcPr>
            <w:tcW w:w="5098" w:type="dxa"/>
          </w:tcPr>
          <w:p w:rsidR="00C5499C" w:rsidRPr="00E87005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870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Жылдары</w:t>
            </w:r>
          </w:p>
        </w:tc>
        <w:tc>
          <w:tcPr>
            <w:tcW w:w="849" w:type="dxa"/>
          </w:tcPr>
          <w:p w:rsidR="00C5499C" w:rsidRPr="00E87005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870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2021</w:t>
            </w:r>
          </w:p>
        </w:tc>
        <w:tc>
          <w:tcPr>
            <w:tcW w:w="849" w:type="dxa"/>
          </w:tcPr>
          <w:p w:rsidR="00C5499C" w:rsidRPr="00E87005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870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2022</w:t>
            </w:r>
          </w:p>
        </w:tc>
        <w:tc>
          <w:tcPr>
            <w:tcW w:w="850" w:type="dxa"/>
          </w:tcPr>
          <w:p w:rsidR="00C5499C" w:rsidRPr="00E87005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870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2023</w:t>
            </w:r>
          </w:p>
        </w:tc>
        <w:tc>
          <w:tcPr>
            <w:tcW w:w="849" w:type="dxa"/>
          </w:tcPr>
          <w:p w:rsidR="00C5499C" w:rsidRPr="00E87005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870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2024</w:t>
            </w:r>
          </w:p>
        </w:tc>
        <w:tc>
          <w:tcPr>
            <w:tcW w:w="850" w:type="dxa"/>
          </w:tcPr>
          <w:p w:rsidR="00C5499C" w:rsidRPr="00E87005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870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2025</w:t>
            </w:r>
          </w:p>
        </w:tc>
      </w:tr>
      <w:tr w:rsidR="00C5499C" w:rsidRPr="00C5499C" w:rsidTr="00811542">
        <w:trPr>
          <w:trHeight w:val="276"/>
        </w:trPr>
        <w:tc>
          <w:tcPr>
            <w:tcW w:w="5098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 ичинде жарык көрөн журналдын саны </w:t>
            </w:r>
          </w:p>
        </w:tc>
        <w:tc>
          <w:tcPr>
            <w:tcW w:w="849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9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9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C5499C" w:rsidRPr="00C5499C" w:rsidTr="00811542">
        <w:trPr>
          <w:trHeight w:val="276"/>
        </w:trPr>
        <w:tc>
          <w:tcPr>
            <w:tcW w:w="5098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Макалалардын саны </w:t>
            </w:r>
          </w:p>
        </w:tc>
        <w:tc>
          <w:tcPr>
            <w:tcW w:w="849" w:type="dxa"/>
          </w:tcPr>
          <w:p w:rsidR="00C5499C" w:rsidRPr="00C5499C" w:rsidRDefault="00E87005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849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850" w:type="dxa"/>
          </w:tcPr>
          <w:p w:rsidR="00C5499C" w:rsidRPr="00C5499C" w:rsidRDefault="00E87005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</w:t>
            </w:r>
          </w:p>
        </w:tc>
        <w:tc>
          <w:tcPr>
            <w:tcW w:w="849" w:type="dxa"/>
          </w:tcPr>
          <w:p w:rsidR="00C5499C" w:rsidRPr="00C5499C" w:rsidRDefault="00E87005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153</w:t>
            </w:r>
          </w:p>
        </w:tc>
        <w:tc>
          <w:tcPr>
            <w:tcW w:w="850" w:type="dxa"/>
          </w:tcPr>
          <w:p w:rsidR="00C5499C" w:rsidRPr="00C5499C" w:rsidRDefault="00C5499C" w:rsidP="00C549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549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239</w:t>
            </w:r>
          </w:p>
        </w:tc>
      </w:tr>
    </w:tbl>
    <w:p w:rsidR="00C5499C" w:rsidRDefault="00C5499C" w:rsidP="00C5499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7005" w:rsidRDefault="00E87005" w:rsidP="00C5499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86450" cy="1714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87005" w:rsidRDefault="00E87005" w:rsidP="00C5499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5499C" w:rsidRPr="00C5499C" w:rsidRDefault="00C5499C" w:rsidP="00C5499C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Аналитикалык</w:t>
      </w:r>
      <w:proofErr w:type="spellEnd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b/>
          <w:sz w:val="24"/>
          <w:szCs w:val="24"/>
          <w:lang w:eastAsia="ru-RU"/>
        </w:rPr>
        <w:t>маалымат</w:t>
      </w:r>
      <w:proofErr w:type="spellEnd"/>
    </w:p>
    <w:p w:rsidR="00C5499C" w:rsidRPr="00C5499C" w:rsidRDefault="00C5499C" w:rsidP="00C5499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2021–2025-жылдар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аралыгында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«С.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журналынын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ишмердүүлүгүндө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туруктуу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өсүү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динамикасы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байкалат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үзгүлтүксүз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эки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санын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чыгаруу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басылманын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туруктуу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уюштуруучулук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ишмердүүлүгүн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тастыктайт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99C" w:rsidRPr="00C5499C" w:rsidRDefault="00C5499C" w:rsidP="00C5499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Айрыкча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акыркы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жылдары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санынын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кескин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өсүшү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коомчулук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арасындагы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аброю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жогорулап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жатканын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көрсөтөт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Эгерде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2021-жылы </w:t>
      </w:r>
      <w:r w:rsidR="00E87005">
        <w:rPr>
          <w:rFonts w:ascii="Times New Roman" w:hAnsi="Times New Roman" w:cs="Times New Roman"/>
          <w:sz w:val="24"/>
          <w:szCs w:val="24"/>
          <w:lang w:val="ky-KG" w:eastAsia="ru-RU"/>
        </w:rPr>
        <w:t>62</w:t>
      </w:r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макала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болсо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2025-жылы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көрсөткүч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239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макалага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жеткен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журналга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кызыгуунун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активдүүлүктүн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олуттуу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жогорулагандыгын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айгинелейт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99C" w:rsidRPr="00C5499C" w:rsidRDefault="00C5499C" w:rsidP="00C5499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Өсүү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динамикасында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педагогика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экономика-менеджмент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багытындагы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макалалар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үлүштү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ээлейт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Айрыкча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менеджмент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багытындагы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изилдөөлөрдүн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көбөйүшү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системасын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башкаруу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санариптик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менеджмент,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инновациялык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аймактык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экономиканы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өркүндөтүү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маселелерине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кызыгуунун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өсүп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жаткандыгын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көрсөтөт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499C" w:rsidRPr="00C5499C" w:rsidRDefault="00C5499C" w:rsidP="00C5499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Мындай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көрсөткүчтөр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байланыштарды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кеңейтүүдө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окумуштууларды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колдоодо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заманбап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изилдөөлөрдү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жайылтууда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маанилүү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аянтча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калыптанып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жаткандыгын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499C">
        <w:rPr>
          <w:rFonts w:ascii="Times New Roman" w:hAnsi="Times New Roman" w:cs="Times New Roman"/>
          <w:sz w:val="24"/>
          <w:szCs w:val="24"/>
          <w:lang w:eastAsia="ru-RU"/>
        </w:rPr>
        <w:t>тастыктайт</w:t>
      </w:r>
      <w:proofErr w:type="spellEnd"/>
      <w:r w:rsidRPr="00C549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5540" w:rsidRDefault="00195540" w:rsidP="00C5499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87005" w:rsidRDefault="00E87005" w:rsidP="00C5499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87005" w:rsidRPr="00E87005" w:rsidRDefault="00E87005" w:rsidP="00C5499C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Илим жана инновация борборунун директору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А.Н. Белекова </w:t>
      </w:r>
    </w:p>
    <w:sectPr w:rsidR="00E87005" w:rsidRPr="00E8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54BC8"/>
    <w:multiLevelType w:val="hybridMultilevel"/>
    <w:tmpl w:val="F4949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76ACE"/>
    <w:multiLevelType w:val="multilevel"/>
    <w:tmpl w:val="5D6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621FC"/>
    <w:multiLevelType w:val="hybridMultilevel"/>
    <w:tmpl w:val="EC3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3A27"/>
    <w:multiLevelType w:val="multilevel"/>
    <w:tmpl w:val="5DDE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9C"/>
    <w:rsid w:val="00184819"/>
    <w:rsid w:val="00195540"/>
    <w:rsid w:val="005130A1"/>
    <w:rsid w:val="00C5499C"/>
    <w:rsid w:val="00E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D643A-C3E9-45CF-AAC1-302D846C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49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4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49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4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C5499C"/>
  </w:style>
  <w:style w:type="character" w:styleId="a4">
    <w:name w:val="Strong"/>
    <w:basedOn w:val="a0"/>
    <w:uiPriority w:val="22"/>
    <w:qFormat/>
    <w:rsid w:val="00C5499C"/>
    <w:rPr>
      <w:b/>
      <w:bCs/>
    </w:rPr>
  </w:style>
  <w:style w:type="table" w:styleId="a5">
    <w:name w:val="Table Grid"/>
    <w:basedOn w:val="a1"/>
    <w:uiPriority w:val="39"/>
    <w:rsid w:val="00C5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54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ky-KG"/>
              <a:t>Макалалардын көрсөткүчү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</c:v>
                </c:pt>
                <c:pt idx="1">
                  <c:v>47</c:v>
                </c:pt>
                <c:pt idx="2">
                  <c:v>139</c:v>
                </c:pt>
                <c:pt idx="3">
                  <c:v>153</c:v>
                </c:pt>
                <c:pt idx="4">
                  <c:v>239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1301120"/>
        <c:axId val="611301512"/>
      </c:lineChart>
      <c:catAx>
        <c:axId val="61130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301512"/>
        <c:crosses val="autoZero"/>
        <c:auto val="1"/>
        <c:lblAlgn val="ctr"/>
        <c:lblOffset val="100"/>
        <c:noMultiLvlLbl val="0"/>
      </c:catAx>
      <c:valAx>
        <c:axId val="611301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130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2026-05-12T03:48:00Z</cp:lastPrinted>
  <dcterms:created xsi:type="dcterms:W3CDTF">2026-05-11T08:29:00Z</dcterms:created>
  <dcterms:modified xsi:type="dcterms:W3CDTF">2026-05-12T04:05:00Z</dcterms:modified>
</cp:coreProperties>
</file>