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Чет өлкөгө чыгып жаткан студенттер жана профессордук-окутуучулук курам (ПОК) үчүн нускама</w:t>
      </w:r>
    </w:p>
    <w:p w:rsidR="00000000" w:rsidDel="00000000" w:rsidP="00000000" w:rsidRDefault="00000000" w:rsidRPr="00000000" w14:paraId="00000002">
      <w:pPr>
        <w:spacing w:after="280" w:before="280"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Чет өлкөгө чыккан студенттер жана профессордук-окутуучулук курам үчүн нускама</w:t>
      </w:r>
    </w:p>
    <w:p w:rsidR="00000000" w:rsidDel="00000000" w:rsidP="00000000" w:rsidRDefault="00000000" w:rsidRPr="00000000" w14:paraId="00000003">
      <w:pPr>
        <w:spacing w:after="24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qbaamgi5z5r8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Коопсуздукту камсыз кылуу, ички регламенттерди сактоо жана эл аралык ишмердүүлүктүн натыйжалуулугун жогорулатуу максатында, С.Нааматов атындагы Нарын мамлекеттик университетинин студенттери жана профессордук-окутуучулук курамы академиялык мобилдүүлүк, стажировка, конференция, кызматтык иш сапар же эл аралык кызматташуунун башка формаларынын алкагында чет өлкөгө чыгууда белгиленген даярдык жана отчеттуулук тартибин сактоого милдеттүү.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1. Даярдык этабы (Чыгар алдында)</w:t>
      </w:r>
    </w:p>
    <w:p w:rsidR="00000000" w:rsidDel="00000000" w:rsidP="00000000" w:rsidRDefault="00000000" w:rsidRPr="00000000" w14:paraId="00000005">
      <w:pPr>
        <w:spacing w:after="240" w:lineRule="auto"/>
        <w:ind w:left="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Чыгар алдында төмөнкүлөр талап кылынат: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Университеттин расмий буйругун алуу.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Кабыл алуучу тараптын тастыктоочу документтерин тапшыруу (чакыруу кат, программа, келишим).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Бүтүндөй сапар мөөнөтүнө жарактуу медициналык камсыздандыруу алуу.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Паспорттун жарактуулук мөөнөтүн жана визалык талаптарды текшерүү.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Эл аралык бөлүм менен сапар программасын макулдашуу.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Кабыл алуучу өлкөнүн эрежелери менен таанышуу.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Өзгөчө кырдаалдар үчүн байланыш маалыматтарын берүү.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Студенттер кошумча түрдө: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Окуу планын макулдашууга (зарыл болсо Learning Agreement).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Кафедранын академиялык макулдугун алууга.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Сабактарды кайра эсептөө тартибин тактоого милдеттүү.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2. Чет өлкөдө жүргөн учурда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Чет өлкөдө жүргөн мезгилде катышуучулар төмөнкүлөрдү аткарууга тийиш: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Кабыл алуучу өлкөнүн мыйзамдарын сактоо.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Университеттин координатору менен туруктуу байланышта болуу.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Университеттин аброюн жогорку деңгээлде көрсөтүү.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Академиялык жана ишкердик этиканын нормаларын сактоо.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Өзгөчө кырдаалдар тууралуу дароо университетке маалымдоо.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3. Кайтып келгенден кийин</w:t>
      </w:r>
    </w:p>
    <w:p w:rsidR="00000000" w:rsidDel="00000000" w:rsidP="00000000" w:rsidRDefault="00000000" w:rsidRPr="00000000" w14:paraId="00000019">
      <w:pPr>
        <w:spacing w:after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Кайтып келгенден кийин белгиленген мөөнөттө: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Сапардын жыйынтыгы боюнча отчет даярдоо жана тапшыруу.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Тастыктоочу документтерди берүү (сертификаттар, катышуу ырастамалары).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Университеттин расмий сайтына жайгаштыруу үчүн материалдарды берүү.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Кафедрада кыскача отчет же презентация жасоо (зарыл болсо).</w:t>
      </w:r>
    </w:p>
    <w:p w:rsidR="00000000" w:rsidDel="00000000" w:rsidP="00000000" w:rsidRDefault="00000000" w:rsidRPr="00000000" w14:paraId="0000001E">
      <w:pPr>
        <w:spacing w:after="24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Профессордук-окутуучулук курам үчүн кызматтык иш сапар боюнча отчет формасын толтуруу милдеттүү болуп саналат.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4. Жоопкерчилик</w:t>
      </w:r>
    </w:p>
    <w:p w:rsidR="00000000" w:rsidDel="00000000" w:rsidP="00000000" w:rsidRDefault="00000000" w:rsidRPr="00000000" w14:paraId="00000020">
      <w:pPr>
        <w:spacing w:after="24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Белгиленген талаптарды аткарбоо төмөнкү кесепеттерге алып келиши мүмкүн: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150" w:before="28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келечектеги мобилдүүлүк программаларына катышууга тыюу салуу;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ички тартиптик чаралар;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150" w:before="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сабактарды кайра эсептөөдөн баш тартуу (студенттер үчүн).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5. Байланыш маалыматы</w:t>
      </w:r>
    </w:p>
    <w:p w:rsidR="00000000" w:rsidDel="00000000" w:rsidP="00000000" w:rsidRDefault="00000000" w:rsidRPr="00000000" w14:paraId="00000025">
      <w:pPr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Документтерди даярдоо, визалык колдоо жана эл аралык кызматташтык боюнча суроолор менен университеттин Эл аралык бөлүмүнө кайрылуу зарыл.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tqDA2jh4pTsMH2vO32/QH/2KA==">CgMxLjAyDmgucWJhYW1naTV6NXI4OAByITFjVThyNXhIUHpaMml0M1ZtVGJ4cnZtSW1qcW0yS0RZaA==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