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heading=h.v8q51m6m17u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Долбоор жетекчисинин отчеттуулугу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Ар бир долбоор жетекчиси белгиленген форма боюнча өз долбоору тууралуу актуалдуу маалыматтарды толтурууга милдеттүү, анын ичинде: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5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долбоордун аталышы жана каржылоо булагы;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ишке ашыруу мөөнөтү;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долбоордук топтун курамы;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жетишилген жыйынтыктар жана аралык көрсөткүчтөр;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жарыяланган эмгектер жана отчеттук материалдар;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өнөктөштөр жана эл аралык кызматташтык тууралуу маалымат (эгер бар болсо);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долбоорду ишке ашыруунун каржылык жана уюштуруучулук аспектилери.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Бул отчеттуулук долбоордук ишмердүүлүктүн ачыктыгын камсыз кылууга, мөөнөттөрдү жана жыйынтыктарды көзөмөлдөөгө, ошондой эле университеттин илимий жана гранттык активдүүлүгү боюнча бирдиктүү маалымат базасын түзүүгө өбөлгө түзөт.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Маалыматтарды өз убагында жана так толтуруу долбоорлорду натыйжалуу башкаруунун жана эл аралык, илимий кызматташтыкты мындан ары өнүктүрүүнүн милдеттүү шарты болуп саналат.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VJafb+DusQMvY+5cnI6SPpMPQ==">CgMxLjAyDmgudjhxNTFtNm0xN3U4OAByITFBZWNmRGpIRWphSzg2LVpNZmEza3F6ZWt3ZzNRREJsQQ==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